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21E0111" w:rsidR="00F92268" w:rsidRPr="00FF66BF" w:rsidRDefault="00E10441" w:rsidP="00F63E2D">
            <w:r w:rsidRPr="00E10441">
              <w:rPr>
                <w:rFonts w:cs="Arial"/>
                <w:sz w:val="16"/>
                <w:szCs w:val="16"/>
              </w:rPr>
              <w:t>1865-A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4FEFAB90" w:rsidR="007F05F3" w:rsidRPr="00041200" w:rsidRDefault="007F05F3" w:rsidP="007F05F3">
      <w:pPr>
        <w:pStyle w:val="Heading1"/>
      </w:pPr>
      <w:r w:rsidRPr="007F05F3">
        <w:t>Specialty Guideline Management</w:t>
      </w:r>
      <w:r w:rsidR="008C54D9" w:rsidRPr="00BD1CC1">
        <w:br/>
      </w:r>
      <w:proofErr w:type="spellStart"/>
      <w:r w:rsidRPr="007F05F3">
        <w:t>Lenvima</w:t>
      </w:r>
      <w:proofErr w:type="spellEnd"/>
    </w:p>
    <w:p w14:paraId="78861C92" w14:textId="663D828B" w:rsidR="00203468" w:rsidRPr="00BD1CC1" w:rsidRDefault="00C64534" w:rsidP="008E0F0D">
      <w:pPr>
        <w:pStyle w:val="Heading2"/>
      </w:pPr>
      <w:r w:rsidRPr="00BD1CC1">
        <w:t xml:space="preserve">Products Referenced by this </w:t>
      </w:r>
      <w:r w:rsidR="00501602" w:rsidRPr="00BD1CC1">
        <w:t>Document</w:t>
      </w:r>
    </w:p>
    <w:p w14:paraId="5455152B" w14:textId="19E43C6F" w:rsidR="008E0F0D"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FE396C">
        <w:t>Over-the-counter (</w:t>
      </w:r>
      <w:r w:rsidRPr="00BD1CC1">
        <w:t>OTC</w:t>
      </w:r>
      <w:r w:rsidR="00FE396C">
        <w:t>)</w:t>
      </w:r>
      <w:r w:rsidRPr="00BD1CC1">
        <w:t xml:space="preserve"> 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385"/>
        <w:gridCol w:w="5385"/>
      </w:tblGrid>
      <w:tr w:rsidR="007F05F3" w:rsidRPr="00BD1CC1" w14:paraId="457CEE36" w14:textId="77777777" w:rsidTr="00F63E2D">
        <w:trPr>
          <w:cantSplit/>
          <w:trHeight w:val="288"/>
          <w:tblHeader/>
        </w:trPr>
        <w:tc>
          <w:tcPr>
            <w:tcW w:w="5385" w:type="dxa"/>
            <w:vAlign w:val="center"/>
          </w:tcPr>
          <w:p w14:paraId="74FADDC6" w14:textId="77777777" w:rsidR="007F05F3" w:rsidRPr="00BD1CC1" w:rsidRDefault="007F05F3">
            <w:pPr>
              <w:pStyle w:val="TableHeader"/>
            </w:pPr>
            <w:r w:rsidRPr="00BD1CC1">
              <w:t>Brand Name</w:t>
            </w:r>
          </w:p>
        </w:tc>
        <w:tc>
          <w:tcPr>
            <w:tcW w:w="5385" w:type="dxa"/>
          </w:tcPr>
          <w:p w14:paraId="571AE219" w14:textId="77777777" w:rsidR="007F05F3" w:rsidRPr="00BD1CC1" w:rsidRDefault="007F05F3">
            <w:pPr>
              <w:pStyle w:val="TableHeader"/>
            </w:pPr>
            <w:r>
              <w:t>Generic Name</w:t>
            </w:r>
          </w:p>
        </w:tc>
      </w:tr>
      <w:tr w:rsidR="007F05F3" w:rsidRPr="00BD1CC1" w14:paraId="311A3451" w14:textId="77777777" w:rsidTr="00F63E2D">
        <w:trPr>
          <w:cantSplit/>
          <w:trHeight w:val="334"/>
        </w:trPr>
        <w:tc>
          <w:tcPr>
            <w:tcW w:w="5385" w:type="dxa"/>
          </w:tcPr>
          <w:p w14:paraId="64CB6BA6" w14:textId="390D84DC" w:rsidR="007F05F3" w:rsidRPr="00BD1CC1" w:rsidRDefault="007F05F3">
            <w:pPr>
              <w:pStyle w:val="TableDataUnpadded"/>
            </w:pPr>
            <w:r w:rsidRPr="007F05F3">
              <w:t>Lenvima</w:t>
            </w:r>
          </w:p>
        </w:tc>
        <w:tc>
          <w:tcPr>
            <w:tcW w:w="5385" w:type="dxa"/>
          </w:tcPr>
          <w:p w14:paraId="6AEDBDEE" w14:textId="399C77C0" w:rsidR="007F05F3" w:rsidRPr="00BD1CC1" w:rsidRDefault="007F05F3">
            <w:pPr>
              <w:pStyle w:val="TableDataUnpadded"/>
            </w:pPr>
            <w:r w:rsidRPr="007F05F3">
              <w:t>lenvatinib</w:t>
            </w:r>
          </w:p>
        </w:tc>
      </w:tr>
    </w:tbl>
    <w:p w14:paraId="14CE6108" w14:textId="62019FA9" w:rsidR="00FC1AAD" w:rsidRDefault="00ED052F" w:rsidP="00AA2A94">
      <w:pPr>
        <w:pStyle w:val="Heading2"/>
        <w:tabs>
          <w:tab w:val="left" w:pos="9540"/>
        </w:tabs>
      </w:pPr>
      <w:r>
        <w:t>Indications</w:t>
      </w:r>
    </w:p>
    <w:p w14:paraId="75D0BBCF" w14:textId="4847E985" w:rsidR="007F05F3" w:rsidRPr="007F05F3" w:rsidRDefault="007F05F3" w:rsidP="007F05F3">
      <w:pPr>
        <w:pStyle w:val="BodyText"/>
      </w:pPr>
      <w:r w:rsidRPr="007F05F3">
        <w:t>The indications below including FDA-approved indications and compendial uses are considered a covered benefit provided that all the approval criteria are met and the member has no exclusions to the prescribed therapy.</w:t>
      </w:r>
    </w:p>
    <w:p w14:paraId="134B5687" w14:textId="75F10C79" w:rsidR="00ED052F" w:rsidRPr="00BD1CC1" w:rsidRDefault="00ED052F" w:rsidP="00ED052F">
      <w:pPr>
        <w:pStyle w:val="Heading3"/>
        <w:keepNext w:val="0"/>
      </w:pPr>
      <w:r w:rsidRPr="00BD1CC1">
        <w:t>FDA-approved Indications</w:t>
      </w:r>
    </w:p>
    <w:p w14:paraId="49028304" w14:textId="76995319" w:rsidR="007F05F3" w:rsidRPr="00FB2E0B" w:rsidRDefault="007F05F3" w:rsidP="00FB2E0B">
      <w:pPr>
        <w:pStyle w:val="ListParagraph"/>
        <w:numPr>
          <w:ilvl w:val="0"/>
          <w:numId w:val="39"/>
        </w:numPr>
      </w:pPr>
      <w:r w:rsidRPr="00FB2E0B">
        <w:t xml:space="preserve">Lenvima is indicated for the treatment of </w:t>
      </w:r>
      <w:r w:rsidR="00A31976">
        <w:t xml:space="preserve">adult </w:t>
      </w:r>
      <w:r w:rsidRPr="00FB2E0B">
        <w:t>patients with locally recurrent or metastatic, progressive, radioactive iodine-refractory differentiated thyroid cancer (DTC).</w:t>
      </w:r>
    </w:p>
    <w:p w14:paraId="0069122A" w14:textId="07E90CA3" w:rsidR="007F05F3" w:rsidRPr="00FB2E0B" w:rsidRDefault="007F05F3" w:rsidP="00FB2E0B">
      <w:pPr>
        <w:pStyle w:val="ListParagraph"/>
        <w:numPr>
          <w:ilvl w:val="0"/>
          <w:numId w:val="39"/>
        </w:numPr>
      </w:pPr>
      <w:r w:rsidRPr="00FB2E0B">
        <w:t>Lenvima is indicated in combination with pembrolizumab for the first line treatment of adult patients with advanced renal cell carcinoma.</w:t>
      </w:r>
    </w:p>
    <w:p w14:paraId="59EA8356" w14:textId="1E44FD18" w:rsidR="007F05F3" w:rsidRPr="00FB2E0B" w:rsidRDefault="007F05F3" w:rsidP="00FB2E0B">
      <w:pPr>
        <w:pStyle w:val="ListParagraph"/>
        <w:numPr>
          <w:ilvl w:val="0"/>
          <w:numId w:val="39"/>
        </w:numPr>
      </w:pPr>
      <w:r w:rsidRPr="00FB2E0B">
        <w:t xml:space="preserve">Lenvima is indicated in combination with </w:t>
      </w:r>
      <w:proofErr w:type="spellStart"/>
      <w:r w:rsidRPr="00FB2E0B">
        <w:t>everolimus</w:t>
      </w:r>
      <w:proofErr w:type="spellEnd"/>
      <w:r w:rsidRPr="00FB2E0B">
        <w:t>, for the treatment of adult patients with advanced renal cell carcinoma (RCC) following one prior anti-angiogenic therapy.</w:t>
      </w:r>
    </w:p>
    <w:p w14:paraId="14BD6F49" w14:textId="02807795" w:rsidR="007F05F3" w:rsidRPr="00FB2E0B" w:rsidRDefault="007F05F3" w:rsidP="00FB2E0B">
      <w:pPr>
        <w:pStyle w:val="ListParagraph"/>
        <w:numPr>
          <w:ilvl w:val="0"/>
          <w:numId w:val="39"/>
        </w:numPr>
      </w:pPr>
      <w:r w:rsidRPr="00FB2E0B">
        <w:t>Lenvima is indicated for the first-line treatment of patients with unresectable hepatocellular carcinoma (HCC).</w:t>
      </w:r>
    </w:p>
    <w:p w14:paraId="33F5DE82" w14:textId="1759DFB9" w:rsidR="007F05F3" w:rsidRPr="00FB2E0B" w:rsidRDefault="007F05F3" w:rsidP="00FB2E0B">
      <w:pPr>
        <w:pStyle w:val="ListParagraph"/>
        <w:numPr>
          <w:ilvl w:val="0"/>
          <w:numId w:val="39"/>
        </w:numPr>
      </w:pPr>
      <w:r w:rsidRPr="00FB2E0B">
        <w:t>Lenvima is indicated in combination with pembrolizumab, for the treatment of patients with advanced endometrial carcinoma (EC) that is mismatch repair proficient (</w:t>
      </w:r>
      <w:proofErr w:type="spellStart"/>
      <w:r w:rsidRPr="00FB2E0B">
        <w:t>pMMR</w:t>
      </w:r>
      <w:proofErr w:type="spellEnd"/>
      <w:r w:rsidRPr="00FB2E0B">
        <w:t>), as determined by an FDA-approved test, or not microsatellite instability-high (MSI-H), who have disease progression following prior systemic therapy in any setting and are not candidates for curative surgery or radiation.</w:t>
      </w:r>
    </w:p>
    <w:p w14:paraId="0B5EC236" w14:textId="3E4FE5AE" w:rsidR="0044763A" w:rsidRPr="00100B91" w:rsidRDefault="009F2EF1" w:rsidP="0044763A">
      <w:pPr>
        <w:pStyle w:val="Heading3"/>
      </w:pPr>
      <w:r>
        <w:lastRenderedPageBreak/>
        <w:t>Compendial Uses</w:t>
      </w:r>
    </w:p>
    <w:p w14:paraId="3158E0B5" w14:textId="2882AAA0" w:rsidR="007F05F3" w:rsidRPr="008509E5" w:rsidRDefault="007F05F3" w:rsidP="008509E5">
      <w:pPr>
        <w:pStyle w:val="ListParagraph"/>
        <w:numPr>
          <w:ilvl w:val="0"/>
          <w:numId w:val="40"/>
        </w:numPr>
        <w:rPr>
          <w:rFonts w:eastAsia="Arial"/>
        </w:rPr>
      </w:pPr>
      <w:r w:rsidRPr="008509E5">
        <w:rPr>
          <w:rFonts w:eastAsia="Arial"/>
        </w:rPr>
        <w:t xml:space="preserve">Anaplastic, medullary, follicular, </w:t>
      </w:r>
      <w:proofErr w:type="spellStart"/>
      <w:r w:rsidRPr="008509E5">
        <w:rPr>
          <w:rFonts w:eastAsia="Arial"/>
        </w:rPr>
        <w:t>oncocytic</w:t>
      </w:r>
      <w:proofErr w:type="spellEnd"/>
      <w:r w:rsidRPr="008509E5">
        <w:rPr>
          <w:rFonts w:eastAsia="Arial"/>
        </w:rPr>
        <w:t>/</w:t>
      </w:r>
      <w:proofErr w:type="spellStart"/>
      <w:r w:rsidRPr="008509E5">
        <w:rPr>
          <w:rFonts w:eastAsia="Arial"/>
        </w:rPr>
        <w:t>Hurthle</w:t>
      </w:r>
      <w:proofErr w:type="spellEnd"/>
      <w:r w:rsidRPr="008509E5">
        <w:rPr>
          <w:rFonts w:eastAsia="Arial"/>
        </w:rPr>
        <w:t xml:space="preserve"> cell, or papillary thyroid carcinoma</w:t>
      </w:r>
    </w:p>
    <w:p w14:paraId="39B13F98" w14:textId="59855A14" w:rsidR="007F05F3" w:rsidRPr="008509E5" w:rsidRDefault="007F05F3" w:rsidP="008509E5">
      <w:pPr>
        <w:pStyle w:val="ListParagraph"/>
        <w:numPr>
          <w:ilvl w:val="0"/>
          <w:numId w:val="40"/>
        </w:numPr>
        <w:rPr>
          <w:rFonts w:eastAsia="Arial"/>
        </w:rPr>
      </w:pPr>
      <w:r w:rsidRPr="008509E5">
        <w:rPr>
          <w:rFonts w:eastAsia="Arial"/>
        </w:rPr>
        <w:t>HCC</w:t>
      </w:r>
    </w:p>
    <w:p w14:paraId="5FE17AC4" w14:textId="1D55034C" w:rsidR="007F05F3" w:rsidRPr="008509E5" w:rsidRDefault="007F05F3" w:rsidP="008509E5">
      <w:pPr>
        <w:pStyle w:val="ListParagraph"/>
        <w:numPr>
          <w:ilvl w:val="0"/>
          <w:numId w:val="40"/>
        </w:numPr>
        <w:rPr>
          <w:rFonts w:eastAsia="Arial"/>
        </w:rPr>
      </w:pPr>
      <w:r w:rsidRPr="008509E5">
        <w:rPr>
          <w:rFonts w:eastAsia="Arial"/>
        </w:rPr>
        <w:t>Relapsed RCC</w:t>
      </w:r>
    </w:p>
    <w:p w14:paraId="682F9528" w14:textId="00C52AE8" w:rsidR="007F05F3" w:rsidRPr="008509E5" w:rsidRDefault="007F05F3" w:rsidP="008509E5">
      <w:pPr>
        <w:pStyle w:val="ListParagraph"/>
        <w:numPr>
          <w:ilvl w:val="0"/>
          <w:numId w:val="40"/>
        </w:numPr>
        <w:rPr>
          <w:rFonts w:eastAsia="Arial"/>
        </w:rPr>
      </w:pPr>
      <w:r w:rsidRPr="008509E5">
        <w:rPr>
          <w:rFonts w:eastAsia="Arial"/>
        </w:rPr>
        <w:t>Recurrent endometrial carcinoma</w:t>
      </w:r>
    </w:p>
    <w:p w14:paraId="047A0537" w14:textId="3FA56C39" w:rsidR="007F05F3" w:rsidRPr="008509E5" w:rsidRDefault="007F05F3" w:rsidP="008509E5">
      <w:pPr>
        <w:pStyle w:val="ListParagraph"/>
        <w:numPr>
          <w:ilvl w:val="0"/>
          <w:numId w:val="40"/>
        </w:numPr>
        <w:rPr>
          <w:rFonts w:eastAsia="Arial"/>
        </w:rPr>
      </w:pPr>
      <w:r w:rsidRPr="008509E5">
        <w:rPr>
          <w:rFonts w:eastAsia="Arial"/>
        </w:rPr>
        <w:t>Thymic carcinoma</w:t>
      </w:r>
    </w:p>
    <w:p w14:paraId="5F0AD630" w14:textId="114F770A" w:rsidR="007F05F3" w:rsidRPr="008509E5" w:rsidRDefault="007F05F3" w:rsidP="008509E5">
      <w:pPr>
        <w:pStyle w:val="ListParagraph"/>
        <w:numPr>
          <w:ilvl w:val="0"/>
          <w:numId w:val="40"/>
        </w:numPr>
        <w:rPr>
          <w:rFonts w:eastAsia="Arial"/>
        </w:rPr>
      </w:pPr>
      <w:r w:rsidRPr="008509E5">
        <w:rPr>
          <w:rFonts w:eastAsia="Arial"/>
        </w:rPr>
        <w:t>Cutaneous melanoma</w:t>
      </w:r>
    </w:p>
    <w:p w14:paraId="7524FB58" w14:textId="3DC7D27E" w:rsidR="007F05F3" w:rsidRPr="00BD1CC1" w:rsidRDefault="007F05F3" w:rsidP="007F05F3">
      <w:pPr>
        <w:pStyle w:val="BodyText"/>
        <w:rPr>
          <w:rFonts w:eastAsia="Arial"/>
        </w:rPr>
      </w:pPr>
      <w:r w:rsidRPr="007F05F3">
        <w:rPr>
          <w:rFonts w:eastAsia="Arial"/>
        </w:rPr>
        <w:t>All other indications are considered experimental/investigational and not medically necessary.</w:t>
      </w:r>
    </w:p>
    <w:p w14:paraId="36381B6D" w14:textId="03D1176D" w:rsidR="000D2496" w:rsidRPr="00BD1CC1" w:rsidRDefault="000D2496" w:rsidP="000D2496">
      <w:pPr>
        <w:pStyle w:val="Heading2"/>
      </w:pPr>
      <w:r w:rsidRPr="00BD1CC1">
        <w:t>Documentation</w:t>
      </w:r>
    </w:p>
    <w:p w14:paraId="64798FDD" w14:textId="1B2BEF8C" w:rsidR="007F05F3" w:rsidRDefault="007F05F3" w:rsidP="000D2496">
      <w:pPr>
        <w:pStyle w:val="BodyText"/>
      </w:pPr>
      <w:r w:rsidRPr="007F05F3">
        <w:t>Submission of the following information is necessary to initiate the prior authorization review: Documentation of laboratory report confirming mismatch repair (MMR) tumor status, where applicable.</w:t>
      </w:r>
    </w:p>
    <w:p w14:paraId="436E2A37" w14:textId="27DC402F" w:rsidR="00D36381" w:rsidRDefault="00685107" w:rsidP="00E10441">
      <w:pPr>
        <w:pStyle w:val="Heading2"/>
      </w:pPr>
      <w:r>
        <w:t>Coverage Criteria</w:t>
      </w:r>
    </w:p>
    <w:p w14:paraId="5B4E89AF" w14:textId="04E80089" w:rsidR="00D36381" w:rsidRDefault="00D36381" w:rsidP="00D36381">
      <w:pPr>
        <w:pStyle w:val="Heading4"/>
      </w:pPr>
      <w:r>
        <w:t>Thyroid carcinoma</w:t>
      </w:r>
    </w:p>
    <w:p w14:paraId="6F04D8EF" w14:textId="77777777" w:rsidR="00D36381" w:rsidRDefault="00D36381" w:rsidP="004A4656">
      <w:pPr>
        <w:pStyle w:val="BodyText"/>
      </w:pPr>
      <w:r>
        <w:t>Authorization of 12 months may be granted for treatment of thyroid carcinoma when any of the following criteria are met:</w:t>
      </w:r>
    </w:p>
    <w:p w14:paraId="28034B47" w14:textId="129683D0" w:rsidR="00D36381" w:rsidRDefault="00D36381" w:rsidP="00D36381">
      <w:pPr>
        <w:pStyle w:val="ListParagraph"/>
        <w:numPr>
          <w:ilvl w:val="0"/>
          <w:numId w:val="33"/>
        </w:numPr>
      </w:pPr>
      <w:r>
        <w:t xml:space="preserve">Member has follicular, </w:t>
      </w:r>
      <w:proofErr w:type="spellStart"/>
      <w:r>
        <w:t>oncocytic</w:t>
      </w:r>
      <w:proofErr w:type="spellEnd"/>
      <w:r>
        <w:t>/</w:t>
      </w:r>
      <w:proofErr w:type="spellStart"/>
      <w:r>
        <w:t>Hürthle</w:t>
      </w:r>
      <w:proofErr w:type="spellEnd"/>
      <w:r>
        <w:t xml:space="preserve"> cell, or papillary thyroid carcinoma not amenable to radioactive iodine therapy (RAI).</w:t>
      </w:r>
    </w:p>
    <w:p w14:paraId="216B9F6A" w14:textId="4605BCAF" w:rsidR="00D36381" w:rsidRDefault="00D36381" w:rsidP="00D36381">
      <w:pPr>
        <w:pStyle w:val="ListParagraph"/>
        <w:numPr>
          <w:ilvl w:val="0"/>
          <w:numId w:val="33"/>
        </w:numPr>
      </w:pPr>
      <w:r>
        <w:t xml:space="preserve">Member has medullary thyroid carcinoma and has progressed on </w:t>
      </w:r>
      <w:proofErr w:type="spellStart"/>
      <w:r>
        <w:t>vandetanib</w:t>
      </w:r>
      <w:proofErr w:type="spellEnd"/>
      <w:r>
        <w:t xml:space="preserve"> (</w:t>
      </w:r>
      <w:proofErr w:type="spellStart"/>
      <w:r>
        <w:t>Caprelsa</w:t>
      </w:r>
      <w:proofErr w:type="spellEnd"/>
      <w:r>
        <w:t xml:space="preserve">) or </w:t>
      </w:r>
      <w:proofErr w:type="spellStart"/>
      <w:r>
        <w:t>cabozantinib</w:t>
      </w:r>
      <w:proofErr w:type="spellEnd"/>
      <w:r>
        <w:t xml:space="preserve"> (</w:t>
      </w:r>
      <w:proofErr w:type="spellStart"/>
      <w:r>
        <w:t>Cometriq</w:t>
      </w:r>
      <w:proofErr w:type="spellEnd"/>
      <w:r>
        <w:t>) OR these therapies are</w:t>
      </w:r>
      <w:r w:rsidR="00105C2C">
        <w:t xml:space="preserve"> unavailable or</w:t>
      </w:r>
      <w:r>
        <w:t xml:space="preserve"> inappropriate</w:t>
      </w:r>
      <w:r w:rsidR="00105C2C">
        <w:t>.</w:t>
      </w:r>
    </w:p>
    <w:p w14:paraId="38CF56F6" w14:textId="72075F2D" w:rsidR="00D36381" w:rsidRDefault="00D36381" w:rsidP="00D36381">
      <w:pPr>
        <w:pStyle w:val="ListParagraph"/>
        <w:numPr>
          <w:ilvl w:val="0"/>
          <w:numId w:val="33"/>
        </w:numPr>
      </w:pPr>
      <w:r>
        <w:t>Member has stage IVC anaplastic thyroid carcinoma and requested drug will be used in combination with pembrolizumab (Keytruda)</w:t>
      </w:r>
      <w:r w:rsidR="00105C2C">
        <w:t>.</w:t>
      </w:r>
    </w:p>
    <w:p w14:paraId="33EA4BB0" w14:textId="1C3B4FA5" w:rsidR="00D36381" w:rsidRDefault="00D36381" w:rsidP="00D36381">
      <w:pPr>
        <w:pStyle w:val="Heading4"/>
      </w:pPr>
      <w:r>
        <w:t>Renal Cell Carcinoma</w:t>
      </w:r>
    </w:p>
    <w:p w14:paraId="3E66630C" w14:textId="77777777" w:rsidR="00D36381" w:rsidRDefault="00D36381" w:rsidP="004A4656">
      <w:pPr>
        <w:pStyle w:val="BodyText"/>
      </w:pPr>
      <w:r>
        <w:t>Authorization of 12 months may be granted for treatment of advanced, relapsed or stage IV renal cell carcinoma when used in any of the following settings.</w:t>
      </w:r>
    </w:p>
    <w:p w14:paraId="78F2A177" w14:textId="353437E5" w:rsidR="00D36381" w:rsidRPr="00966F7B" w:rsidRDefault="00D36381" w:rsidP="00966F7B">
      <w:pPr>
        <w:pStyle w:val="ListParagraph"/>
        <w:numPr>
          <w:ilvl w:val="0"/>
          <w:numId w:val="41"/>
        </w:numPr>
      </w:pPr>
      <w:r w:rsidRPr="00966F7B">
        <w:t xml:space="preserve">The requested drug will be used in combination with </w:t>
      </w:r>
      <w:proofErr w:type="spellStart"/>
      <w:r w:rsidRPr="00966F7B">
        <w:t>everolimus</w:t>
      </w:r>
      <w:proofErr w:type="spellEnd"/>
      <w:r w:rsidRPr="00966F7B">
        <w:t xml:space="preserve"> (</w:t>
      </w:r>
      <w:proofErr w:type="spellStart"/>
      <w:r w:rsidRPr="00966F7B">
        <w:t>Afinitor</w:t>
      </w:r>
      <w:proofErr w:type="spellEnd"/>
      <w:r w:rsidRPr="00966F7B">
        <w:t>) and either of the following is met:</w:t>
      </w:r>
    </w:p>
    <w:p w14:paraId="0F2957D5" w14:textId="17959508" w:rsidR="00D36381" w:rsidRPr="00966F7B" w:rsidRDefault="00D36381" w:rsidP="00966F7B">
      <w:pPr>
        <w:pStyle w:val="ListParagraph"/>
        <w:numPr>
          <w:ilvl w:val="1"/>
          <w:numId w:val="42"/>
        </w:numPr>
      </w:pPr>
      <w:r w:rsidRPr="00966F7B">
        <w:t>The disease histology is predominantly clear cell and the member has used prior therapy OR</w:t>
      </w:r>
    </w:p>
    <w:p w14:paraId="401B34C3" w14:textId="0653F463" w:rsidR="00D36381" w:rsidRPr="00966F7B" w:rsidRDefault="00D36381" w:rsidP="00966F7B">
      <w:pPr>
        <w:pStyle w:val="ListParagraph"/>
        <w:numPr>
          <w:ilvl w:val="1"/>
          <w:numId w:val="42"/>
        </w:numPr>
      </w:pPr>
      <w:r w:rsidRPr="00966F7B">
        <w:t>The disease histology is non-clear cell</w:t>
      </w:r>
    </w:p>
    <w:p w14:paraId="6EC3E106" w14:textId="3895A62E" w:rsidR="00D36381" w:rsidRPr="00966F7B" w:rsidRDefault="00D36381" w:rsidP="00966F7B">
      <w:pPr>
        <w:pStyle w:val="ListParagraph"/>
        <w:numPr>
          <w:ilvl w:val="0"/>
          <w:numId w:val="41"/>
        </w:numPr>
      </w:pPr>
      <w:r w:rsidRPr="00966F7B">
        <w:t>The requested drug will be used in combination with pembrolizumab (Keytruda).</w:t>
      </w:r>
    </w:p>
    <w:p w14:paraId="6F242729" w14:textId="21D56663" w:rsidR="00D36381" w:rsidRDefault="00D36381" w:rsidP="00D36381">
      <w:pPr>
        <w:pStyle w:val="Heading4"/>
      </w:pPr>
      <w:r>
        <w:t>Hepatocellular Carcinoma</w:t>
      </w:r>
    </w:p>
    <w:p w14:paraId="58FF5258" w14:textId="77777777" w:rsidR="00D36381" w:rsidRPr="008472DD" w:rsidRDefault="00D36381" w:rsidP="008472DD">
      <w:pPr>
        <w:pStyle w:val="BodyText"/>
      </w:pPr>
      <w:r w:rsidRPr="008472DD">
        <w:t>Authorization of 12 months may be granted for treatment of hepatocellular carcinoma as a single agent when any of the following criteria are met:</w:t>
      </w:r>
    </w:p>
    <w:p w14:paraId="5606DCF3" w14:textId="334B77B0" w:rsidR="00D36381" w:rsidRPr="008472DD" w:rsidRDefault="00D36381" w:rsidP="008472DD">
      <w:pPr>
        <w:pStyle w:val="ListParagraph"/>
        <w:numPr>
          <w:ilvl w:val="0"/>
          <w:numId w:val="44"/>
        </w:numPr>
      </w:pPr>
      <w:r w:rsidRPr="008472DD">
        <w:t>Member has unresectable disease and is not a transplant candidate</w:t>
      </w:r>
    </w:p>
    <w:p w14:paraId="33C44F62" w14:textId="21C5BBB7" w:rsidR="00D36381" w:rsidRPr="008472DD" w:rsidRDefault="00D36381" w:rsidP="008472DD">
      <w:pPr>
        <w:pStyle w:val="ListParagraph"/>
        <w:numPr>
          <w:ilvl w:val="0"/>
          <w:numId w:val="44"/>
        </w:numPr>
      </w:pPr>
      <w:r w:rsidRPr="008472DD">
        <w:t xml:space="preserve">Member has </w:t>
      </w:r>
      <w:r w:rsidR="00105C2C">
        <w:t>extrahepatic/</w:t>
      </w:r>
      <w:r w:rsidRPr="008472DD">
        <w:t>metastatic disease</w:t>
      </w:r>
      <w:r w:rsidR="00CD6B4A">
        <w:t xml:space="preserve"> </w:t>
      </w:r>
      <w:r w:rsidR="00CD6B4A" w:rsidRPr="00CD6B4A">
        <w:t>and is ineligible for resection, transplant, or locoregional therapy.</w:t>
      </w:r>
    </w:p>
    <w:p w14:paraId="0D2626B7" w14:textId="471B7AE2" w:rsidR="00D36381" w:rsidRDefault="00D36381" w:rsidP="00E10441">
      <w:pPr>
        <w:pStyle w:val="Heading4"/>
      </w:pPr>
      <w:r>
        <w:t>Endometrial Carcinoma</w:t>
      </w:r>
    </w:p>
    <w:p w14:paraId="0BA7F23B" w14:textId="487BA1F4" w:rsidR="00D36381" w:rsidRDefault="00D36381" w:rsidP="008472DD">
      <w:pPr>
        <w:pStyle w:val="BodyText"/>
      </w:pPr>
      <w:r>
        <w:t xml:space="preserve">Authorization of 12 months may be granted for treatment </w:t>
      </w:r>
      <w:proofErr w:type="spellStart"/>
      <w:r>
        <w:t>ofendometrial</w:t>
      </w:r>
      <w:proofErr w:type="spellEnd"/>
      <w:r>
        <w:t xml:space="preserve"> carcinoma when used in combination with pembrolizumab (Keytruda) when either of the following are met:</w:t>
      </w:r>
    </w:p>
    <w:p w14:paraId="45047A4E" w14:textId="74EBBB7A" w:rsidR="00D36381" w:rsidRPr="00706F7C" w:rsidRDefault="00D36381" w:rsidP="00706F7C">
      <w:pPr>
        <w:pStyle w:val="ListParagraph"/>
        <w:numPr>
          <w:ilvl w:val="0"/>
          <w:numId w:val="45"/>
        </w:numPr>
      </w:pPr>
      <w:r w:rsidRPr="00706F7C">
        <w:t xml:space="preserve">The </w:t>
      </w:r>
      <w:r w:rsidR="00821976" w:rsidRPr="00821976">
        <w:t xml:space="preserve">member has advanced or recurrent </w:t>
      </w:r>
      <w:r w:rsidRPr="00706F7C">
        <w:t xml:space="preserve">disease </w:t>
      </w:r>
      <w:r w:rsidR="00BF2082">
        <w:t xml:space="preserve">that </w:t>
      </w:r>
      <w:r w:rsidRPr="00706F7C">
        <w:t>is mismatch repair proficient (</w:t>
      </w:r>
      <w:proofErr w:type="spellStart"/>
      <w:r w:rsidRPr="00706F7C">
        <w:t>pMMR</w:t>
      </w:r>
      <w:proofErr w:type="spellEnd"/>
      <w:r w:rsidRPr="00706F7C">
        <w:t>)</w:t>
      </w:r>
    </w:p>
    <w:p w14:paraId="57D4D701" w14:textId="44A30EB6" w:rsidR="00D36381" w:rsidRPr="00706F7C" w:rsidRDefault="00D36381" w:rsidP="00706F7C">
      <w:pPr>
        <w:pStyle w:val="ListParagraph"/>
        <w:numPr>
          <w:ilvl w:val="0"/>
          <w:numId w:val="45"/>
        </w:numPr>
      </w:pPr>
      <w:r w:rsidRPr="00706F7C">
        <w:t xml:space="preserve">The </w:t>
      </w:r>
      <w:r w:rsidR="00D956DF" w:rsidRPr="00D956DF">
        <w:t xml:space="preserve">member has advanced </w:t>
      </w:r>
      <w:r w:rsidRPr="00706F7C">
        <w:t xml:space="preserve">disease </w:t>
      </w:r>
      <w:r w:rsidR="00D956DF">
        <w:t xml:space="preserve">that </w:t>
      </w:r>
      <w:r w:rsidRPr="00706F7C">
        <w:t>is mismatch repair deficient (</w:t>
      </w:r>
      <w:proofErr w:type="spellStart"/>
      <w:r w:rsidRPr="00706F7C">
        <w:t>dMMR</w:t>
      </w:r>
      <w:proofErr w:type="spellEnd"/>
      <w:r w:rsidRPr="00706F7C">
        <w:t>) and has progressed following prior platinum-based chemotherapy</w:t>
      </w:r>
    </w:p>
    <w:p w14:paraId="601B1AC0" w14:textId="04460094" w:rsidR="00D36381" w:rsidRDefault="00D36381" w:rsidP="00E10441">
      <w:pPr>
        <w:pStyle w:val="Heading4"/>
      </w:pPr>
      <w:r>
        <w:t>Thymic Carcinoma</w:t>
      </w:r>
    </w:p>
    <w:p w14:paraId="0ADE127E" w14:textId="77777777" w:rsidR="00D36381" w:rsidRDefault="00D36381" w:rsidP="003754A6">
      <w:pPr>
        <w:pStyle w:val="BodyText"/>
      </w:pPr>
      <w:r>
        <w:t>Authorization of 12 months may be granted for treatment of thymic carcinoma when used as a single agent.</w:t>
      </w:r>
    </w:p>
    <w:p w14:paraId="0F22CE20" w14:textId="0C90E464" w:rsidR="00D36381" w:rsidRDefault="00D36381" w:rsidP="00E10441">
      <w:pPr>
        <w:pStyle w:val="Heading4"/>
      </w:pPr>
      <w:r>
        <w:t>Cutaneous Melanoma</w:t>
      </w:r>
    </w:p>
    <w:p w14:paraId="3D5484B5" w14:textId="454A4DFC" w:rsidR="00D36381" w:rsidRDefault="00D36381" w:rsidP="003754A6">
      <w:pPr>
        <w:pStyle w:val="BodyText"/>
      </w:pPr>
      <w:r>
        <w:t>Authorization of 12 months may be granted for treatment of metastatic or unresectable cutaneous melanoma that has progressed following treatment with an anti-PD-1/PD-L1-based therapy, in combination with pembrolizumab.</w:t>
      </w:r>
    </w:p>
    <w:p w14:paraId="3A643EC3" w14:textId="1987F4D9" w:rsidR="00A501AC" w:rsidRPr="00BD1CC1" w:rsidRDefault="00A501AC" w:rsidP="00A501AC">
      <w:pPr>
        <w:pStyle w:val="Heading2"/>
      </w:pPr>
      <w:r w:rsidRPr="00BD1CC1">
        <w:t>Continuation of Therapy</w:t>
      </w:r>
    </w:p>
    <w:p w14:paraId="3F424AD2" w14:textId="77777777" w:rsidR="006E707A" w:rsidRDefault="00E10441" w:rsidP="003D46B0">
      <w:pPr>
        <w:pStyle w:val="BodyText"/>
      </w:pPr>
      <w:r w:rsidRPr="00E10441">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579F8A90" w:rsidR="00FF66BF" w:rsidRPr="008D1B34" w:rsidRDefault="00FF66BF" w:rsidP="00FF66BF">
      <w:pPr>
        <w:pStyle w:val="Heading2"/>
      </w:pPr>
      <w:r w:rsidRPr="008D1B34">
        <w:t>References</w:t>
      </w:r>
    </w:p>
    <w:p w14:paraId="73EC0B69" w14:textId="1F612F7F" w:rsidR="00E10441" w:rsidRDefault="00E10441" w:rsidP="00E10441">
      <w:pPr>
        <w:pStyle w:val="ReferenceOrdered"/>
      </w:pPr>
      <w:r>
        <w:t xml:space="preserve">Lenvima [package insert]. Nutley, NJ: Eisai Inc.; </w:t>
      </w:r>
      <w:r w:rsidR="00A1693F">
        <w:t xml:space="preserve">June </w:t>
      </w:r>
      <w:r>
        <w:t>202</w:t>
      </w:r>
      <w:r w:rsidR="00A1693F">
        <w:t>4</w:t>
      </w:r>
      <w:r>
        <w:t>.</w:t>
      </w:r>
    </w:p>
    <w:p w14:paraId="417EAF35" w14:textId="6E67DEF2" w:rsidR="00E10441" w:rsidRDefault="00E10441" w:rsidP="00E10441">
      <w:pPr>
        <w:pStyle w:val="ReferenceOrdered"/>
      </w:pPr>
      <w:r>
        <w:t xml:space="preserve">The NCCN Drugs &amp; Biologics Compendium 2024 National Comprehensive Cancer Network, Inc. https://www.nccn.org. Accessed </w:t>
      </w:r>
      <w:r w:rsidR="00A1693F">
        <w:t>July 30</w:t>
      </w:r>
      <w:r>
        <w:t>, 2024.</w:t>
      </w:r>
    </w:p>
    <w:p w14:paraId="34146C08" w14:textId="77777777" w:rsidR="00E10441" w:rsidRDefault="00E10441" w:rsidP="00E10441">
      <w:pPr>
        <w:pStyle w:val="ReferenceOrdered"/>
      </w:pPr>
      <w:r>
        <w:t>National Comprehensive Cancer Network (NCCN) Guidelines: Thyroid Carcinoma V1.2024. National Comprehensive Cancer Network, Inc. https://www.nccn.org/professionals/physician_gls/pdf/thyroid.pdf. Accessed February 1, 2024.</w:t>
      </w:r>
    </w:p>
    <w:p w14:paraId="47E1A10C" w14:textId="700C7880" w:rsidR="00C44990" w:rsidRPr="00C96FD3" w:rsidRDefault="00E10441" w:rsidP="00C96FD3">
      <w:pPr>
        <w:pStyle w:val="ReferenceOrdered"/>
      </w:pPr>
      <w:r>
        <w:t>Micromedex (electronic version). Truven Health Analytics. Greenwood Village, Colorado, USA https://www.micromedexsolutions.com/. Accessed August 21, 2023.</w:t>
      </w:r>
    </w:p>
    <w:sectPr w:rsidR="00C44990" w:rsidRPr="00C96FD3"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4B04D" w14:textId="77777777" w:rsidR="00FD307D" w:rsidRDefault="00FD307D">
      <w:r>
        <w:separator/>
      </w:r>
    </w:p>
  </w:endnote>
  <w:endnote w:type="continuationSeparator" w:id="0">
    <w:p w14:paraId="5143EA2F" w14:textId="77777777" w:rsidR="00FD307D" w:rsidRDefault="00FD307D">
      <w:r>
        <w:continuationSeparator/>
      </w:r>
    </w:p>
  </w:endnote>
  <w:endnote w:type="continuationNotice" w:id="1">
    <w:p w14:paraId="6CEEF555" w14:textId="77777777" w:rsidR="00FD307D" w:rsidRDefault="00FD30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7E1ADF59"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63E2D" w:rsidRPr="00F63E2D">
      <w:rPr>
        <w:rFonts w:cs="Arial"/>
        <w:noProof/>
        <w:sz w:val="16"/>
        <w:szCs w:val="16"/>
      </w:rPr>
      <w:t>Lenvima</w:t>
    </w:r>
    <w:r w:rsidR="00F63E2D">
      <w:rPr>
        <w:rFonts w:cs="Arial"/>
        <w:noProof/>
        <w:snapToGrid w:val="0"/>
        <w:color w:val="000000"/>
        <w:sz w:val="16"/>
        <w:szCs w:val="16"/>
      </w:rPr>
      <w:t xml:space="preserve"> SGM 1865-A</w:t>
    </w:r>
    <w:r w:rsidR="00F63E2D" w:rsidRPr="00F63E2D">
      <w:rPr>
        <w:rFonts w:cs="Arial"/>
        <w:noProof/>
        <w:sz w:val="16"/>
        <w:szCs w:val="16"/>
      </w:rPr>
      <w:t xml:space="preserve"> </w:t>
    </w:r>
    <w:r w:rsidR="00A82386">
      <w:rPr>
        <w:rFonts w:cs="Arial"/>
        <w:noProof/>
        <w:sz w:val="16"/>
        <w:szCs w:val="16"/>
      </w:rPr>
      <w:t>P</w:t>
    </w:r>
    <w:r w:rsidR="00F63E2D" w:rsidRPr="00F63E2D">
      <w:rPr>
        <w:rFonts w:cs="Arial"/>
        <w:noProof/>
        <w:sz w:val="16"/>
        <w:szCs w:val="16"/>
      </w:rPr>
      <w:t>202</w:t>
    </w:r>
    <w:r w:rsidR="003B6C76">
      <w:rPr>
        <w:rFonts w:cs="Arial"/>
        <w:noProof/>
        <w:sz w:val="16"/>
        <w:szCs w:val="16"/>
      </w:rPr>
      <w:t>4</w:t>
    </w:r>
    <w:r w:rsidR="00F63E2D">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2D636A56"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103A733B" w:rsidR="00F75C81" w:rsidRPr="00F63E2D" w:rsidRDefault="00C36B72" w:rsidP="00F63E2D">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F062194"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63E2D" w:rsidRPr="00F63E2D">
      <w:rPr>
        <w:rFonts w:cs="Arial"/>
        <w:noProof/>
        <w:sz w:val="16"/>
        <w:szCs w:val="16"/>
      </w:rPr>
      <w:t>Lenvima</w:t>
    </w:r>
    <w:r w:rsidR="00F63E2D">
      <w:rPr>
        <w:rFonts w:cs="Arial"/>
        <w:noProof/>
        <w:snapToGrid w:val="0"/>
        <w:color w:val="000000"/>
        <w:sz w:val="16"/>
        <w:szCs w:val="16"/>
      </w:rPr>
      <w:t xml:space="preserve"> SGM 1865-A </w:t>
    </w:r>
    <w:r w:rsidR="00A82386">
      <w:rPr>
        <w:rFonts w:cs="Arial"/>
        <w:noProof/>
        <w:snapToGrid w:val="0"/>
        <w:color w:val="000000"/>
        <w:sz w:val="16"/>
        <w:szCs w:val="16"/>
      </w:rPr>
      <w:t>P</w:t>
    </w:r>
    <w:r w:rsidR="00F63E2D" w:rsidRPr="00F63E2D">
      <w:rPr>
        <w:rFonts w:cs="Arial"/>
        <w:noProof/>
        <w:sz w:val="16"/>
        <w:szCs w:val="16"/>
      </w:rPr>
      <w:t>202</w:t>
    </w:r>
    <w:r w:rsidR="00A1693F">
      <w:rPr>
        <w:rFonts w:cs="Arial"/>
        <w:noProof/>
        <w:sz w:val="16"/>
        <w:szCs w:val="16"/>
      </w:rPr>
      <w:t>4</w:t>
    </w:r>
    <w:r w:rsidR="00F63E2D" w:rsidRPr="00F63E2D">
      <w:rPr>
        <w:rFonts w:cs="Arial"/>
        <w:noProof/>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039F87F6"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66ABF0F0" w:rsidR="00ED04EC" w:rsidRPr="00F63E2D" w:rsidRDefault="00F50D98" w:rsidP="00F63E2D">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C48CF" w14:textId="77777777" w:rsidR="00FD307D" w:rsidRDefault="00FD307D">
      <w:r>
        <w:separator/>
      </w:r>
    </w:p>
  </w:footnote>
  <w:footnote w:type="continuationSeparator" w:id="0">
    <w:p w14:paraId="13A84D5D" w14:textId="77777777" w:rsidR="00FD307D" w:rsidRDefault="00FD307D">
      <w:r>
        <w:continuationSeparator/>
      </w:r>
    </w:p>
  </w:footnote>
  <w:footnote w:type="continuationNotice" w:id="1">
    <w:p w14:paraId="0AEAE867" w14:textId="77777777" w:rsidR="00FD307D" w:rsidRDefault="00FD30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F63E2D" w14:paraId="16262E63" w14:textId="77777777">
      <w:trPr>
        <w:trHeight w:val="144"/>
        <w:jc w:val="right"/>
      </w:trPr>
      <w:tc>
        <w:tcPr>
          <w:tcW w:w="1854" w:type="dxa"/>
          <w:hideMark/>
        </w:tcPr>
        <w:p w14:paraId="18F550B7" w14:textId="77777777" w:rsidR="00ED04EC" w:rsidRPr="00F63E2D" w:rsidRDefault="00ED04EC" w:rsidP="00ED04EC">
          <w:pPr>
            <w:pStyle w:val="Header"/>
            <w:rPr>
              <w:rFonts w:cs="Arial"/>
              <w:sz w:val="16"/>
              <w:szCs w:val="16"/>
            </w:rPr>
          </w:pPr>
          <w:r w:rsidRPr="00F63E2D">
            <w:rPr>
              <w:rFonts w:cs="Arial"/>
              <w:sz w:val="16"/>
              <w:szCs w:val="16"/>
            </w:rPr>
            <w:t>Reference number(s)</w:t>
          </w:r>
        </w:p>
      </w:tc>
    </w:tr>
    <w:tr w:rsidR="00ED04EC" w:rsidRPr="00F63E2D" w14:paraId="703C6588" w14:textId="77777777">
      <w:trPr>
        <w:trHeight w:val="378"/>
        <w:jc w:val="right"/>
      </w:trPr>
      <w:tc>
        <w:tcPr>
          <w:tcW w:w="1854" w:type="dxa"/>
          <w:hideMark/>
        </w:tcPr>
        <w:p w14:paraId="51CE3E64" w14:textId="437B7170" w:rsidR="00ED04EC" w:rsidRPr="00F63E2D" w:rsidRDefault="00E10441" w:rsidP="00F63E2D">
          <w:pPr>
            <w:rPr>
              <w:rFonts w:cs="Arial"/>
              <w:sz w:val="16"/>
              <w:szCs w:val="16"/>
            </w:rPr>
          </w:pPr>
          <w:r w:rsidRPr="00F63E2D">
            <w:rPr>
              <w:rFonts w:cs="Arial"/>
              <w:sz w:val="16"/>
              <w:szCs w:val="16"/>
            </w:rPr>
            <w:t>1865-A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E7619F"/>
    <w:multiLevelType w:val="hybridMultilevel"/>
    <w:tmpl w:val="C486E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C10BE7"/>
    <w:multiLevelType w:val="hybridMultilevel"/>
    <w:tmpl w:val="96585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6C31B7"/>
    <w:multiLevelType w:val="hybridMultilevel"/>
    <w:tmpl w:val="83FE07DE"/>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25500E4"/>
    <w:multiLevelType w:val="hybridMultilevel"/>
    <w:tmpl w:val="CD9A07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8"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0353F77"/>
    <w:multiLevelType w:val="hybridMultilevel"/>
    <w:tmpl w:val="FE4A0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4559D1"/>
    <w:multiLevelType w:val="hybridMultilevel"/>
    <w:tmpl w:val="E28237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4F6B25"/>
    <w:multiLevelType w:val="hybridMultilevel"/>
    <w:tmpl w:val="5A5E4D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2095104"/>
    <w:multiLevelType w:val="hybridMultilevel"/>
    <w:tmpl w:val="55B8D47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3BD1B05"/>
    <w:multiLevelType w:val="hybridMultilevel"/>
    <w:tmpl w:val="7AEAF0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F876BFF"/>
    <w:multiLevelType w:val="hybridMultilevel"/>
    <w:tmpl w:val="C560A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9B4A59"/>
    <w:multiLevelType w:val="hybridMultilevel"/>
    <w:tmpl w:val="E7E04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2D82C22"/>
    <w:multiLevelType w:val="hybridMultilevel"/>
    <w:tmpl w:val="84202F3C"/>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68618D"/>
    <w:multiLevelType w:val="hybridMultilevel"/>
    <w:tmpl w:val="457E7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363760"/>
    <w:multiLevelType w:val="hybridMultilevel"/>
    <w:tmpl w:val="4C2A61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111B19"/>
    <w:multiLevelType w:val="hybridMultilevel"/>
    <w:tmpl w:val="654EF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28240A"/>
    <w:multiLevelType w:val="hybridMultilevel"/>
    <w:tmpl w:val="4A0408C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BE0805"/>
    <w:multiLevelType w:val="hybridMultilevel"/>
    <w:tmpl w:val="A0ECEE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883D01"/>
    <w:multiLevelType w:val="hybridMultilevel"/>
    <w:tmpl w:val="E03CDAA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39"/>
  </w:num>
  <w:num w:numId="3" w16cid:durableId="611589570">
    <w:abstractNumId w:val="3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1"/>
  </w:num>
  <w:num w:numId="16" w16cid:durableId="898320195">
    <w:abstractNumId w:val="25"/>
  </w:num>
  <w:num w:numId="17" w16cid:durableId="2128498676">
    <w:abstractNumId w:val="43"/>
  </w:num>
  <w:num w:numId="18" w16cid:durableId="299724409">
    <w:abstractNumId w:val="36"/>
  </w:num>
  <w:num w:numId="19" w16cid:durableId="214585573">
    <w:abstractNumId w:val="17"/>
  </w:num>
  <w:num w:numId="20" w16cid:durableId="1289816170">
    <w:abstractNumId w:val="18"/>
  </w:num>
  <w:num w:numId="21" w16cid:durableId="1066490929">
    <w:abstractNumId w:val="44"/>
  </w:num>
  <w:num w:numId="22" w16cid:durableId="1472481103">
    <w:abstractNumId w:val="38"/>
  </w:num>
  <w:num w:numId="23" w16cid:durableId="1997420403">
    <w:abstractNumId w:val="41"/>
  </w:num>
  <w:num w:numId="24" w16cid:durableId="33312838">
    <w:abstractNumId w:val="37"/>
  </w:num>
  <w:num w:numId="25" w16cid:durableId="507404939">
    <w:abstractNumId w:val="24"/>
  </w:num>
  <w:num w:numId="26" w16cid:durableId="1950313333">
    <w:abstractNumId w:val="30"/>
  </w:num>
  <w:num w:numId="27" w16cid:durableId="1866016584">
    <w:abstractNumId w:val="26"/>
  </w:num>
  <w:num w:numId="28" w16cid:durableId="491683398">
    <w:abstractNumId w:val="16"/>
  </w:num>
  <w:num w:numId="29" w16cid:durableId="1599950116">
    <w:abstractNumId w:val="19"/>
  </w:num>
  <w:num w:numId="30" w16cid:durableId="1045986579">
    <w:abstractNumId w:val="10"/>
  </w:num>
  <w:num w:numId="31" w16cid:durableId="1119835189">
    <w:abstractNumId w:val="23"/>
  </w:num>
  <w:num w:numId="32" w16cid:durableId="1432362622">
    <w:abstractNumId w:val="12"/>
  </w:num>
  <w:num w:numId="33" w16cid:durableId="331107222">
    <w:abstractNumId w:val="42"/>
  </w:num>
  <w:num w:numId="34" w16cid:durableId="2105764042">
    <w:abstractNumId w:val="40"/>
  </w:num>
  <w:num w:numId="35" w16cid:durableId="124471135">
    <w:abstractNumId w:val="28"/>
  </w:num>
  <w:num w:numId="36" w16cid:durableId="1198158109">
    <w:abstractNumId w:val="29"/>
  </w:num>
  <w:num w:numId="37" w16cid:durableId="1956447579">
    <w:abstractNumId w:val="14"/>
  </w:num>
  <w:num w:numId="38" w16cid:durableId="231548747">
    <w:abstractNumId w:val="21"/>
  </w:num>
  <w:num w:numId="39" w16cid:durableId="1691645634">
    <w:abstractNumId w:val="32"/>
  </w:num>
  <w:num w:numId="40" w16cid:durableId="647439050">
    <w:abstractNumId w:val="34"/>
  </w:num>
  <w:num w:numId="41" w16cid:durableId="933241254">
    <w:abstractNumId w:val="20"/>
  </w:num>
  <w:num w:numId="42" w16cid:durableId="1349021994">
    <w:abstractNumId w:val="35"/>
  </w:num>
  <w:num w:numId="43" w16cid:durableId="88235052">
    <w:abstractNumId w:val="33"/>
  </w:num>
  <w:num w:numId="44" w16cid:durableId="1254432994">
    <w:abstractNumId w:val="22"/>
  </w:num>
  <w:num w:numId="45" w16cid:durableId="13188584">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776"/>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4A3"/>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48DB"/>
    <w:rsid w:val="0010527A"/>
    <w:rsid w:val="001054B4"/>
    <w:rsid w:val="00105956"/>
    <w:rsid w:val="00105C2C"/>
    <w:rsid w:val="00107394"/>
    <w:rsid w:val="001074E7"/>
    <w:rsid w:val="001075C1"/>
    <w:rsid w:val="00107B1D"/>
    <w:rsid w:val="00110AF8"/>
    <w:rsid w:val="00110DE3"/>
    <w:rsid w:val="00110F57"/>
    <w:rsid w:val="00111842"/>
    <w:rsid w:val="001120B7"/>
    <w:rsid w:val="00113D62"/>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1223"/>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BBD"/>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3DB8"/>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110"/>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4A6"/>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6C76"/>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5BAE"/>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5CD"/>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4E1E"/>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656"/>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4AD"/>
    <w:rsid w:val="00511573"/>
    <w:rsid w:val="00512353"/>
    <w:rsid w:val="00512508"/>
    <w:rsid w:val="0051361C"/>
    <w:rsid w:val="00513C29"/>
    <w:rsid w:val="00513FB3"/>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299"/>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07A"/>
    <w:rsid w:val="006E7677"/>
    <w:rsid w:val="006E7E43"/>
    <w:rsid w:val="006E7FCD"/>
    <w:rsid w:val="006F01E6"/>
    <w:rsid w:val="006F05FA"/>
    <w:rsid w:val="006F214B"/>
    <w:rsid w:val="006F2882"/>
    <w:rsid w:val="006F391D"/>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7C"/>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47F5A"/>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29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39F"/>
    <w:rsid w:val="007D151B"/>
    <w:rsid w:val="007D1C72"/>
    <w:rsid w:val="007D1E64"/>
    <w:rsid w:val="007D223D"/>
    <w:rsid w:val="007D3BE5"/>
    <w:rsid w:val="007D5505"/>
    <w:rsid w:val="007D59F1"/>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BCF"/>
    <w:rsid w:val="007E2C35"/>
    <w:rsid w:val="007E427E"/>
    <w:rsid w:val="007E450C"/>
    <w:rsid w:val="007E4AD4"/>
    <w:rsid w:val="007E5C16"/>
    <w:rsid w:val="007E5C40"/>
    <w:rsid w:val="007E7B46"/>
    <w:rsid w:val="007F02C3"/>
    <w:rsid w:val="007F05F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976"/>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3FDB"/>
    <w:rsid w:val="0084425F"/>
    <w:rsid w:val="008445A6"/>
    <w:rsid w:val="00844E79"/>
    <w:rsid w:val="008465D2"/>
    <w:rsid w:val="008472DD"/>
    <w:rsid w:val="00850792"/>
    <w:rsid w:val="00850819"/>
    <w:rsid w:val="008509E5"/>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1EA4"/>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6F7B"/>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93F"/>
    <w:rsid w:val="00A16E35"/>
    <w:rsid w:val="00A20159"/>
    <w:rsid w:val="00A2137A"/>
    <w:rsid w:val="00A21480"/>
    <w:rsid w:val="00A23BE3"/>
    <w:rsid w:val="00A24116"/>
    <w:rsid w:val="00A242BE"/>
    <w:rsid w:val="00A25BB6"/>
    <w:rsid w:val="00A278EB"/>
    <w:rsid w:val="00A30ABB"/>
    <w:rsid w:val="00A31976"/>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386"/>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4F3A"/>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4E5F"/>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082"/>
    <w:rsid w:val="00BF2436"/>
    <w:rsid w:val="00BF35E3"/>
    <w:rsid w:val="00BF3789"/>
    <w:rsid w:val="00BF4287"/>
    <w:rsid w:val="00BF4324"/>
    <w:rsid w:val="00BF47FF"/>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6FD3"/>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C7D17"/>
    <w:rsid w:val="00CD03D0"/>
    <w:rsid w:val="00CD04D5"/>
    <w:rsid w:val="00CD1B5B"/>
    <w:rsid w:val="00CD3C27"/>
    <w:rsid w:val="00CD4084"/>
    <w:rsid w:val="00CD59BF"/>
    <w:rsid w:val="00CD6B4A"/>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CF7"/>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381"/>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6422"/>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6DF"/>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0441"/>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3BFB"/>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738"/>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505"/>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9DC"/>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3E2D"/>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6E28"/>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2E0B"/>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6DA8"/>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07D"/>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96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11844864-3936-4C2C-B6A6-F5F9A3AF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13E27FFC-962B-4E54-A49D-17FA3F0B4FA6}"/>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772</Words>
  <Characters>4405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UM PrimaryTemplate</vt:lpstr>
    </vt:vector>
  </TitlesOfParts>
  <Company>PCS Health Systems</Company>
  <LinksUpToDate>false</LinksUpToDate>
  <CharactersWithSpaces>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Lenvima 1865-A SGM 2023a</dc:title>
  <dc:subject/>
  <dc:creator>CVS Caremark</dc:creator>
  <cp:keywords/>
  <cp:lastModifiedBy>Huerta, Linda M</cp:lastModifiedBy>
  <cp:revision>3</cp:revision>
  <cp:lastPrinted>2018-01-09T08:01:00Z</cp:lastPrinted>
  <dcterms:created xsi:type="dcterms:W3CDTF">2024-10-30T20:19:00Z</dcterms:created>
  <dcterms:modified xsi:type="dcterms:W3CDTF">2024-11-14T00:15:00Z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1289000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